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ind w:left="0" w:hanging="2"/>
        <w:jc w:val="center"/>
        <w:rPr/>
      </w:pPr>
      <w:r w:rsidDel="00000000" w:rsidR="00000000" w:rsidRPr="00000000">
        <w:rPr/>
        <w:drawing>
          <wp:inline distB="114300" distT="114300" distL="114300" distR="114300">
            <wp:extent cx="3288962" cy="3075854"/>
            <wp:effectExtent b="0" l="0" r="0" t="0"/>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288962" cy="3075854"/>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5" w:hanging="7"/>
        <w:jc w:val="center"/>
        <w:rPr>
          <w:b w:val="1"/>
          <w:bCs w:val="1"/>
          <w:color w:val="000000"/>
          <w:sz w:val="72"/>
          <w:szCs w:val="72"/>
        </w:rPr>
      </w:pPr>
      <w:r w:rsidDel="00000000" w:rsidR="00000000" w:rsidRPr="00000000">
        <w:rPr>
          <w:b w:val="1"/>
          <w:bCs w:val="1"/>
          <w:color w:val="000000"/>
          <w:sz w:val="72"/>
          <w:szCs w:val="72"/>
          <w:rtl w:val="0"/>
        </w:rPr>
        <w:t xml:space="preserve">Children with Health Needs Who Cannot Attend School Policy</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5" w:hanging="7"/>
        <w:jc w:val="center"/>
        <w:rPr>
          <w:b w:val="1"/>
          <w:bCs w:val="1"/>
          <w:color w:val="000000"/>
          <w:sz w:val="72"/>
          <w:szCs w:val="72"/>
        </w:rPr>
      </w:pPr>
      <w:r w:rsidDel="00000000" w:rsidR="00000000" w:rsidRPr="00000000">
        <w:rPr>
          <w:b w:val="1"/>
          <w:bCs w:val="1"/>
          <w:color w:val="000000"/>
          <w:sz w:val="72"/>
          <w:szCs w:val="72"/>
          <w:rtl w:val="0"/>
        </w:rPr>
        <w:t xml:space="preserve">The </w:t>
      </w:r>
      <w:r w:rsidDel="00000000" w:rsidR="00000000" w:rsidRPr="00000000">
        <w:rPr>
          <w:b w:val="1"/>
          <w:bCs w:val="1"/>
          <w:sz w:val="72"/>
          <w:szCs w:val="72"/>
          <w:rtl w:val="0"/>
        </w:rPr>
        <w:t xml:space="preserve">Valiant</w:t>
      </w:r>
      <w:r w:rsidDel="00000000" w:rsidR="00000000" w:rsidRPr="00000000">
        <w:rPr>
          <w:b w:val="1"/>
          <w:bCs w:val="1"/>
          <w:color w:val="000000"/>
          <w:sz w:val="72"/>
          <w:szCs w:val="72"/>
          <w:rtl w:val="0"/>
        </w:rPr>
        <w:t xml:space="preserve"> School</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B">
      <w:pPr>
        <w:ind w:left="0" w:hanging="2"/>
        <w:rPr/>
      </w:pPr>
      <w:r w:rsidDel="00000000" w:rsidR="00000000" w:rsidRPr="00000000">
        <w:rPr>
          <w:rtl w:val="0"/>
        </w:rPr>
      </w:r>
    </w:p>
    <w:tbl>
      <w:tblPr>
        <w:tblStyle w:val="Table1"/>
        <w:tblW w:w="9720.000000000002"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586"/>
        <w:gridCol w:w="3268"/>
        <w:gridCol w:w="3866"/>
        <w:tblGridChange w:id="0">
          <w:tblGrid>
            <w:gridCol w:w="2586"/>
            <w:gridCol w:w="3268"/>
            <w:gridCol w:w="3866"/>
          </w:tblGrid>
        </w:tblGridChange>
      </w:tblGrid>
      <w:tr>
        <w:trPr>
          <w:cantSplit w:val="0"/>
          <w:tblHeader w:val="0"/>
        </w:trPr>
        <w:tc>
          <w:tcPr>
            <w:tcBorders>
              <w:top w:color="000000" w:space="0" w:sz="0" w:val="nil"/>
              <w:bottom w:color="ffffff" w:space="0" w:sz="18" w:val="single"/>
            </w:tcBorders>
            <w:shd w:fill="d8dfde" w:val="clea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Approved by:</w:t>
            </w:r>
            <w:r w:rsidDel="00000000" w:rsidR="00000000" w:rsidRPr="00000000">
              <w:rPr>
                <w:rtl w:val="0"/>
              </w:rPr>
            </w:r>
          </w:p>
        </w:tc>
        <w:tc>
          <w:tcPr>
            <w:tcBorders>
              <w:top w:color="000000" w:space="0" w:sz="0" w:val="nil"/>
              <w:bottom w:color="ffffff" w:space="0" w:sz="18" w:val="single"/>
            </w:tcBorders>
            <w:shd w:fill="d8dfde" w:val="clear"/>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color w:val="000000"/>
                <w:sz w:val="22"/>
                <w:szCs w:val="22"/>
                <w:rtl w:val="0"/>
              </w:rPr>
              <w:t xml:space="preserve">The Management Committee</w:t>
            </w:r>
          </w:p>
        </w:tc>
        <w:tc>
          <w:tcPr>
            <w:tcBorders>
              <w:top w:color="000000" w:space="0" w:sz="0" w:val="nil"/>
              <w:bottom w:color="ffffff" w:space="0" w:sz="18" w:val="single"/>
            </w:tcBorders>
            <w:shd w:fill="d8dfde" w:val="clea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rtl w:val="0"/>
              </w:rPr>
            </w:r>
          </w:p>
        </w:tc>
      </w:tr>
      <w:tr>
        <w:trPr>
          <w:cantSplit w:val="0"/>
          <w:tblHeader w:val="0"/>
        </w:trPr>
        <w:tc>
          <w:tcPr>
            <w:tcBorders>
              <w:top w:color="ffffff" w:space="0" w:sz="18" w:val="single"/>
              <w:bottom w:color="ffffff" w:space="0" w:sz="18" w:val="single"/>
            </w:tcBorders>
            <w:shd w:fill="d8dfde" w:val="cle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Last reviewed on:</w:t>
            </w:r>
            <w:r w:rsidDel="00000000" w:rsidR="00000000" w:rsidRPr="00000000">
              <w:rPr>
                <w:rtl w:val="0"/>
              </w:rPr>
            </w:r>
          </w:p>
        </w:tc>
        <w:tc>
          <w:tcPr>
            <w:gridSpan w:val="2"/>
            <w:tcBorders>
              <w:top w:color="ffffff" w:space="0" w:sz="18" w:val="single"/>
              <w:bottom w:color="ffffff" w:space="0" w:sz="18" w:val="single"/>
            </w:tcBorders>
            <w:shd w:fill="d8dfde" w:val="clea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9th June 2026</w:t>
            </w:r>
            <w:r w:rsidDel="00000000" w:rsidR="00000000" w:rsidRPr="00000000">
              <w:rPr>
                <w:rtl w:val="0"/>
              </w:rPr>
            </w:r>
          </w:p>
        </w:tc>
      </w:tr>
      <w:tr>
        <w:trPr>
          <w:cantSplit w:val="0"/>
          <w:tblHeader w:val="0"/>
        </w:trPr>
        <w:tc>
          <w:tcPr>
            <w:tcBorders>
              <w:top w:color="ffffff" w:space="0" w:sz="18" w:val="single"/>
              <w:bottom w:color="000000" w:space="0" w:sz="0" w:val="nil"/>
            </w:tcBorders>
            <w:shd w:fill="d8dfde" w:val="cle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Next review due by:</w:t>
            </w:r>
            <w:r w:rsidDel="00000000" w:rsidR="00000000" w:rsidRPr="00000000">
              <w:rPr>
                <w:rtl w:val="0"/>
              </w:rPr>
            </w:r>
          </w:p>
        </w:tc>
        <w:tc>
          <w:tcPr>
            <w:gridSpan w:val="2"/>
            <w:tcBorders>
              <w:top w:color="ffffff" w:space="0" w:sz="18" w:val="single"/>
              <w:bottom w:color="000000" w:space="0" w:sz="0" w:val="nil"/>
            </w:tcBorders>
            <w:shd w:fill="d8dfde" w:val="cle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9th June 2027</w:t>
            </w:r>
            <w:r w:rsidDel="00000000" w:rsidR="00000000" w:rsidRPr="00000000">
              <w:rPr>
                <w:rtl w:val="0"/>
              </w:rPr>
            </w:r>
          </w:p>
        </w:tc>
      </w:tr>
    </w:tbl>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6">
      <w:pPr>
        <w:keepNext w:val="1"/>
        <w:keepLines w:val="1"/>
        <w:pBdr>
          <w:top w:space="0" w:sz="0" w:val="nil"/>
          <w:left w:space="0" w:sz="0" w:val="nil"/>
          <w:bottom w:space="0" w:sz="0" w:val="nil"/>
          <w:right w:space="0" w:sz="0" w:val="nil"/>
          <w:between w:space="0" w:sz="0" w:val="nil"/>
        </w:pBdr>
        <w:spacing w:line="259" w:lineRule="auto"/>
        <w:ind w:left="0" w:hanging="2"/>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ind w:left="0" w:hanging="2"/>
        <w:rPr/>
      </w:pPr>
      <w:bookmarkStart w:colFirst="0" w:colLast="0" w:name="_heading=h.jpgy2tezhqhb" w:id="0"/>
      <w:bookmarkEnd w:id="0"/>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40" w:lineRule="auto"/>
        <w:ind w:left="0" w:hanging="2"/>
        <w:rPr/>
      </w:pPr>
      <w:bookmarkStart w:colFirst="0" w:colLast="0" w:name="_heading=h.5hqypehggxk5" w:id="1"/>
      <w:bookmarkEnd w:id="1"/>
      <w:r w:rsidDel="00000000" w:rsidR="00000000" w:rsidRPr="00000000">
        <w:rPr>
          <w:rtl w:val="0"/>
        </w:rPr>
      </w:r>
    </w:p>
    <w:p w:rsidR="00000000" w:rsidDel="00000000" w:rsidP="00000000" w:rsidRDefault="00000000" w:rsidRPr="00000000" w14:paraId="00000019">
      <w:pPr>
        <w:spacing w:after="200" w:line="360" w:lineRule="auto"/>
        <w:ind w:hanging="2"/>
        <w:rPr>
          <w:rFonts w:ascii="Calibri" w:cs="Calibri" w:eastAsia="Calibri" w:hAnsi="Calibri"/>
          <w:b w:val="1"/>
          <w:bCs w:val="1"/>
          <w:sz w:val="28"/>
          <w:szCs w:val="28"/>
          <w:u w:val="single"/>
        </w:rPr>
      </w:pPr>
      <w:r w:rsidDel="00000000" w:rsidR="00000000" w:rsidRPr="00000000">
        <w:rPr>
          <w:rtl w:val="0"/>
        </w:rPr>
      </w:r>
    </w:p>
    <w:tbl>
      <w:tblPr>
        <w:tblStyle w:val="Table2"/>
        <w:tblW w:w="11115.0" w:type="dxa"/>
        <w:jc w:val="left"/>
        <w:tblInd w:w="-8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1455"/>
        <w:gridCol w:w="2880"/>
        <w:gridCol w:w="4635"/>
        <w:tblGridChange w:id="0">
          <w:tblGrid>
            <w:gridCol w:w="2145"/>
            <w:gridCol w:w="1455"/>
            <w:gridCol w:w="2880"/>
            <w:gridCol w:w="4635"/>
          </w:tblGrid>
        </w:tblGridChange>
      </w:tblGrid>
      <w:tr>
        <w:trPr>
          <w:cantSplit w:val="0"/>
          <w:trHeight w:val="810" w:hRule="atLeast"/>
          <w:tblHeader w:val="0"/>
        </w:trPr>
        <w:tc>
          <w:tcPr>
            <w:gridSpan w:val="4"/>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A">
            <w:pPr>
              <w:spacing w:after="240" w:before="240" w:line="360" w:lineRule="auto"/>
              <w:ind w:firstLine="0"/>
              <w:jc w:val="both"/>
              <w:rPr>
                <w:b w:val="1"/>
                <w:bCs w:val="1"/>
                <w:sz w:val="28"/>
                <w:szCs w:val="28"/>
                <w:u w:val="single"/>
              </w:rPr>
            </w:pPr>
            <w:r w:rsidDel="00000000" w:rsidR="00000000" w:rsidRPr="00000000">
              <w:rPr>
                <w:b w:val="1"/>
                <w:bCs w:val="1"/>
                <w:sz w:val="28"/>
                <w:szCs w:val="28"/>
                <w:u w:val="single"/>
                <w:rtl w:val="0"/>
              </w:rPr>
              <w:t xml:space="preserve">Version Control</w:t>
            </w:r>
          </w:p>
          <w:p w:rsidR="00000000" w:rsidDel="00000000" w:rsidP="00000000" w:rsidRDefault="00000000" w:rsidRPr="00000000" w14:paraId="0000001B">
            <w:pPr>
              <w:spacing w:after="240" w:before="240" w:line="360" w:lineRule="auto"/>
              <w:ind w:firstLine="0"/>
              <w:jc w:val="both"/>
              <w:rPr>
                <w:b w:val="1"/>
                <w:bCs w:val="1"/>
                <w:sz w:val="28"/>
                <w:szCs w:val="28"/>
                <w:u w:val="single"/>
              </w:rPr>
            </w:pPr>
            <w:r w:rsidDel="00000000" w:rsidR="00000000" w:rsidRPr="00000000">
              <w:rPr>
                <w:b w:val="1"/>
                <w:bCs w:val="1"/>
                <w:sz w:val="28"/>
                <w:szCs w:val="28"/>
                <w:u w:val="single"/>
                <w:rtl w:val="0"/>
              </w:rPr>
              <w:t xml:space="preserve"> </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1F">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Version</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0">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Date Approved</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1">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Changes</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2">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Reason for Alterations</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3">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4">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5">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6">
            <w:pPr>
              <w:spacing w:after="240" w:before="240" w:line="360" w:lineRule="auto"/>
              <w:ind w:firstLine="0"/>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spacing w:after="240" w:before="240" w:line="360" w:lineRule="auto"/>
              <w:ind w:firstLine="0"/>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bl>
    <w:p w:rsidR="00000000" w:rsidDel="00000000" w:rsidP="00000000" w:rsidRDefault="00000000" w:rsidRPr="00000000" w14:paraId="00000037">
      <w:pPr>
        <w:spacing w:after="200" w:line="360" w:lineRule="auto"/>
        <w:ind w:hanging="2"/>
        <w:rPr/>
      </w:pPr>
      <w:r w:rsidDel="00000000" w:rsidR="00000000" w:rsidRPr="00000000">
        <w:rPr>
          <w:rtl w:val="0"/>
        </w:rPr>
      </w:r>
    </w:p>
    <w:p w:rsidR="00000000" w:rsidDel="00000000" w:rsidP="00000000" w:rsidRDefault="00000000" w:rsidRPr="00000000" w14:paraId="00000038">
      <w:pPr>
        <w:spacing w:after="200" w:line="360" w:lineRule="auto"/>
        <w:ind w:hanging="2"/>
        <w:rPr/>
      </w:pPr>
      <w:r w:rsidDel="00000000" w:rsidR="00000000" w:rsidRPr="00000000">
        <w:rPr>
          <w:rtl w:val="0"/>
        </w:rPr>
      </w:r>
    </w:p>
    <w:p w:rsidR="00000000" w:rsidDel="00000000" w:rsidP="00000000" w:rsidRDefault="00000000" w:rsidRPr="00000000" w14:paraId="00000039">
      <w:pPr>
        <w:spacing w:after="200" w:line="360" w:lineRule="auto"/>
        <w:ind w:hanging="2"/>
        <w:rPr/>
      </w:pPr>
      <w:r w:rsidDel="00000000" w:rsidR="00000000" w:rsidRPr="00000000">
        <w:rPr>
          <w:rtl w:val="0"/>
        </w:rPr>
      </w:r>
    </w:p>
    <w:p w:rsidR="00000000" w:rsidDel="00000000" w:rsidP="00000000" w:rsidRDefault="00000000" w:rsidRPr="00000000" w14:paraId="0000003A">
      <w:pPr>
        <w:spacing w:after="200" w:line="360" w:lineRule="auto"/>
        <w:ind w:hanging="2"/>
        <w:rPr/>
      </w:pPr>
      <w:r w:rsidDel="00000000" w:rsidR="00000000" w:rsidRPr="00000000">
        <w:rPr>
          <w:rtl w:val="0"/>
        </w:rPr>
      </w:r>
    </w:p>
    <w:p w:rsidR="00000000" w:rsidDel="00000000" w:rsidP="00000000" w:rsidRDefault="00000000" w:rsidRPr="00000000" w14:paraId="0000003B">
      <w:pPr>
        <w:spacing w:after="200" w:line="360" w:lineRule="auto"/>
        <w:ind w:hanging="2"/>
        <w:rPr/>
      </w:pPr>
      <w:r w:rsidDel="00000000" w:rsidR="00000000" w:rsidRPr="00000000">
        <w:rPr>
          <w:rtl w:val="0"/>
        </w:rPr>
      </w:r>
    </w:p>
    <w:p w:rsidR="00000000" w:rsidDel="00000000" w:rsidP="00000000" w:rsidRDefault="00000000" w:rsidRPr="00000000" w14:paraId="0000003C">
      <w:pPr>
        <w:spacing w:after="200" w:line="360" w:lineRule="auto"/>
        <w:ind w:hanging="2"/>
        <w:rPr/>
      </w:pPr>
      <w:r w:rsidDel="00000000" w:rsidR="00000000" w:rsidRPr="00000000">
        <w:rPr>
          <w:rtl w:val="0"/>
        </w:rPr>
      </w:r>
    </w:p>
    <w:p w:rsidR="00000000" w:rsidDel="00000000" w:rsidP="00000000" w:rsidRDefault="00000000" w:rsidRPr="00000000" w14:paraId="0000003D">
      <w:pPr>
        <w:spacing w:after="200" w:line="360" w:lineRule="auto"/>
        <w:ind w:hanging="2"/>
        <w:rPr/>
      </w:pPr>
      <w:r w:rsidDel="00000000" w:rsidR="00000000" w:rsidRPr="00000000">
        <w:rPr>
          <w:rtl w:val="0"/>
        </w:rPr>
      </w:r>
    </w:p>
    <w:p w:rsidR="00000000" w:rsidDel="00000000" w:rsidP="00000000" w:rsidRDefault="00000000" w:rsidRPr="00000000" w14:paraId="0000003E">
      <w:pPr>
        <w:spacing w:after="200" w:line="360" w:lineRule="auto"/>
        <w:ind w:hanging="2"/>
        <w:rPr/>
      </w:pPr>
      <w:r w:rsidDel="00000000" w:rsidR="00000000" w:rsidRPr="00000000">
        <w:rPr>
          <w:rtl w:val="0"/>
        </w:rPr>
      </w:r>
    </w:p>
    <w:p w:rsidR="00000000" w:rsidDel="00000000" w:rsidP="00000000" w:rsidRDefault="00000000" w:rsidRPr="00000000" w14:paraId="0000003F">
      <w:pPr>
        <w:spacing w:after="200" w:line="360" w:lineRule="auto"/>
        <w:ind w:hanging="2"/>
        <w:rPr/>
      </w:pPr>
      <w:r w:rsidDel="00000000" w:rsidR="00000000" w:rsidRPr="00000000">
        <w:rPr>
          <w:rtl w:val="0"/>
        </w:rPr>
      </w:r>
    </w:p>
    <w:p w:rsidR="00000000" w:rsidDel="00000000" w:rsidP="00000000" w:rsidRDefault="00000000" w:rsidRPr="00000000" w14:paraId="00000040">
      <w:pPr>
        <w:spacing w:after="200" w:line="360" w:lineRule="auto"/>
        <w:ind w:hanging="2"/>
        <w:rPr/>
      </w:pPr>
      <w:r w:rsidDel="00000000" w:rsidR="00000000" w:rsidRPr="00000000">
        <w:rPr>
          <w:rtl w:val="0"/>
        </w:rPr>
      </w:r>
    </w:p>
    <w:p w:rsidR="00000000" w:rsidDel="00000000" w:rsidP="00000000" w:rsidRDefault="00000000" w:rsidRPr="00000000" w14:paraId="00000041">
      <w:pPr>
        <w:pStyle w:val="Heading1"/>
        <w:ind w:left="1" w:hanging="3"/>
        <w:rPr/>
      </w:pPr>
      <w:r w:rsidDel="00000000" w:rsidR="00000000" w:rsidRPr="00000000">
        <w:rPr>
          <w:rtl w:val="0"/>
        </w:rPr>
        <w:t xml:space="preserve">1. Aims</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This policy aims to ensure that:</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Suitable education is arranged for pupils on roll who cannot attend school due to health needs</w: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0j0zll" w:id="2"/>
      <w:bookmarkEnd w:id="2"/>
      <w:r w:rsidDel="00000000" w:rsidR="00000000" w:rsidRPr="00000000">
        <w:rPr>
          <w:color w:val="000000"/>
          <w:rtl w:val="0"/>
        </w:rPr>
        <w:t xml:space="preserve">Pupils, staff and parents understand what the school is responsible for when this education is being provided by the local authority</w:t>
      </w:r>
    </w:p>
    <w:p w:rsidR="00000000" w:rsidDel="00000000" w:rsidP="00000000" w:rsidRDefault="00000000" w:rsidRPr="00000000" w14:paraId="00000045">
      <w:pPr>
        <w:pStyle w:val="Heading1"/>
        <w:spacing w:before="240" w:lineRule="auto"/>
        <w:ind w:left="1" w:hanging="3"/>
        <w:rPr/>
      </w:pPr>
      <w:r w:rsidDel="00000000" w:rsidR="00000000" w:rsidRPr="00000000">
        <w:rPr>
          <w:rtl w:val="0"/>
        </w:rPr>
        <w:t xml:space="preserve">2. Legislation and guidance</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This policy reflects the requirements of the </w:t>
      </w:r>
      <w:hyperlink r:id="rId8">
        <w:r w:rsidDel="00000000" w:rsidR="00000000" w:rsidRPr="00000000">
          <w:rPr>
            <w:color w:val="0072cc"/>
            <w:u w:val="single"/>
            <w:rtl w:val="0"/>
          </w:rPr>
          <w:t xml:space="preserve">Education Act 1996</w:t>
        </w:r>
      </w:hyperlink>
      <w:r w:rsidDel="00000000" w:rsidR="00000000" w:rsidRPr="00000000">
        <w:rPr>
          <w:color w:val="000000"/>
          <w:rtl w:val="0"/>
        </w:rPr>
        <w:t xml:space="preserve">.</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It also based on guidance provided by our local authority. </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fob9te" w:id="3"/>
      <w:bookmarkEnd w:id="3"/>
      <w:r w:rsidDel="00000000" w:rsidR="00000000" w:rsidRPr="00000000">
        <w:rPr>
          <w:color w:val="000000"/>
          <w:rtl w:val="0"/>
        </w:rPr>
        <w:t xml:space="preserve">This policy complies with our funding agreement and articles of association.</w:t>
      </w:r>
    </w:p>
    <w:p w:rsidR="00000000" w:rsidDel="00000000" w:rsidP="00000000" w:rsidRDefault="00000000" w:rsidRPr="00000000" w14:paraId="00000049">
      <w:pPr>
        <w:pStyle w:val="Heading1"/>
        <w:spacing w:before="240" w:lineRule="auto"/>
        <w:ind w:left="1" w:hanging="3"/>
        <w:rPr/>
      </w:pPr>
      <w:r w:rsidDel="00000000" w:rsidR="00000000" w:rsidRPr="00000000">
        <w:rPr>
          <w:rtl w:val="0"/>
        </w:rPr>
        <w:t xml:space="preserve">3. The responsibilities of the school</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3.1 If the school makes arrangements</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Initially, the school will attempt to make arrangements to deliver suitable education for children with health needs who cannot attend school.</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3.2 If the local authority makes arrangements</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the school can’t make suitable arrangements, Stoke-on-Trent Local Authority will become responsible for arranging suitable education for these children.</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 cases where the local authority makes arrangements, the school will:</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Work constructively with the local authority, providers, relevant agencies and parents to ensure the best outcomes for the pupil</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Share information with the local authority and relevant health services as required</w:t>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Help make sure that the provision offered to the pupil is as effective as possible and that the child can be reintegrated back into school successfully</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When reintegration is anticipated, work with the local authority to:</w:t>
      </w:r>
    </w:p>
    <w:p w:rsidR="00000000" w:rsidDel="00000000" w:rsidP="00000000" w:rsidRDefault="00000000" w:rsidRPr="00000000" w14:paraId="00000053">
      <w:pPr>
        <w:numPr>
          <w:ilvl w:val="1"/>
          <w:numId w:val="2"/>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Plan for consistent provision during and after the period of education outside the school, allowing the pupil to access the same curriculum and materials that they would have used in school as far as possible</w:t>
      </w:r>
    </w:p>
    <w:p w:rsidR="00000000" w:rsidDel="00000000" w:rsidP="00000000" w:rsidRDefault="00000000" w:rsidRPr="00000000" w14:paraId="00000054">
      <w:pPr>
        <w:numPr>
          <w:ilvl w:val="1"/>
          <w:numId w:val="2"/>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Enable the pupil to stay in touch with school life (e.g. through newsletters, emails, invitations to school events or internet links to lessons from their school)</w:t>
      </w:r>
    </w:p>
    <w:p w:rsidR="00000000" w:rsidDel="00000000" w:rsidP="00000000" w:rsidRDefault="00000000" w:rsidRPr="00000000" w14:paraId="00000055">
      <w:pPr>
        <w:numPr>
          <w:ilvl w:val="1"/>
          <w:numId w:val="2"/>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Create individually tailored reintegration plans for each child returning to school</w:t>
      </w:r>
    </w:p>
    <w:p w:rsidR="00000000" w:rsidDel="00000000" w:rsidP="00000000" w:rsidRDefault="00000000" w:rsidRPr="00000000" w14:paraId="00000056">
      <w:pPr>
        <w:numPr>
          <w:ilvl w:val="1"/>
          <w:numId w:val="2"/>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znysh7" w:id="4"/>
      <w:bookmarkEnd w:id="4"/>
      <w:r w:rsidDel="00000000" w:rsidR="00000000" w:rsidRPr="00000000">
        <w:rPr>
          <w:color w:val="000000"/>
          <w:rtl w:val="0"/>
        </w:rPr>
        <w:t xml:space="preserve">Consider whether any reasonable adjustments need to be made</w:t>
      </w:r>
    </w:p>
    <w:p w:rsidR="00000000" w:rsidDel="00000000" w:rsidP="00000000" w:rsidRDefault="00000000" w:rsidRPr="00000000" w14:paraId="00000057">
      <w:pPr>
        <w:pStyle w:val="Heading1"/>
        <w:spacing w:before="240" w:lineRule="auto"/>
        <w:ind w:left="1" w:hanging="3"/>
        <w:rPr/>
      </w:pPr>
      <w:r w:rsidDel="00000000" w:rsidR="00000000" w:rsidRPr="00000000">
        <w:rPr>
          <w:rtl w:val="0"/>
        </w:rPr>
        <w:t xml:space="preserve">4. Monitoring arrangements</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2et92p0" w:id="5"/>
      <w:bookmarkEnd w:id="5"/>
      <w:r w:rsidDel="00000000" w:rsidR="00000000" w:rsidRPr="00000000">
        <w:rPr>
          <w:color w:val="000000"/>
          <w:rtl w:val="0"/>
        </w:rPr>
        <w:t xml:space="preserve">This policy will be reviewed annually by the Headteacher. At every review, it will be approved by the Management Committee.</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40" w:lineRule="auto"/>
        <w:ind w:left="0" w:hanging="2"/>
        <w:rPr>
          <w:color w:val="000000"/>
          <w:highlight w:val="yellow"/>
        </w:rPr>
      </w:pPr>
      <w:r w:rsidDel="00000000" w:rsidR="00000000" w:rsidRPr="00000000">
        <w:rPr>
          <w:rtl w:val="0"/>
        </w:rPr>
      </w:r>
    </w:p>
    <w:sectPr>
      <w:headerReference r:id="rId9" w:type="default"/>
      <w:headerReference r:id="rId10" w:type="first"/>
      <w:headerReference r:id="rId11" w:type="even"/>
      <w:pgSz w:h="16840" w:w="11900" w:orient="portrait"/>
      <w:pgMar w:bottom="1701" w:top="992" w:left="1077" w:right="1077" w:header="567" w:footer="22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ind w:left="0" w:hanging="2"/>
      <w:rPr/>
    </w:pPr>
    <w:r w:rsidDel="00000000" w:rsidR="00000000" w:rsidRPr="00000000">
      <w:rPr>
        <w:rtl w:val="0"/>
      </w:rPr>
    </w:r>
  </w:p>
  <w:p w:rsidR="00000000" w:rsidDel="00000000" w:rsidP="00000000" w:rsidRDefault="00000000" w:rsidRPr="00000000" w14:paraId="0000005B">
    <w:pPr>
      <w:ind w:left="0" w:hanging="2"/>
      <w:rPr/>
    </w:pPr>
    <w:r w:rsidDel="00000000" w:rsidR="00000000" w:rsidRPr="00000000">
      <w:rPr>
        <w:rtl w:val="0"/>
      </w:rPr>
    </w:r>
  </w:p>
  <w:p w:rsidR="00000000" w:rsidDel="00000000" w:rsidP="00000000" w:rsidRDefault="00000000" w:rsidRPr="00000000" w14:paraId="0000005C">
    <w:pPr>
      <w:ind w:left="0" w:hanging="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ind w:left="0" w:hanging="2"/>
      <w:rPr/>
    </w:pPr>
    <w:r w:rsidDel="00000000" w:rsidR="00000000" w:rsidRPr="00000000">
      <w:rPr>
        <w:rtl w:val="0"/>
      </w:rPr>
    </w:r>
  </w:p>
  <w:p w:rsidR="00000000" w:rsidDel="00000000" w:rsidP="00000000" w:rsidRDefault="00000000" w:rsidRPr="00000000" w14:paraId="0000005E">
    <w:pPr>
      <w:ind w:left="0" w:hanging="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ind w:left="0" w:hanging="2"/>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0pt;height:842.0pt;rotation:0;z-index:-503316481;mso-position-horizontal-relative:left-margin-area;mso-position-horizontal:center;mso-position-vertical-relative:top-margin-area;mso-position-vertical:center;" alt="keydocs-background" type="#_x0000_t75">
          <v:imagedata cropbottom="0f" cropleft="0f" cropright="0f" croptop="0f" r:id="rId2"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
      <w:lvlJc w:val="left"/>
      <w:pPr>
        <w:ind w:left="1270" w:hanging="360"/>
      </w:pPr>
      <w:rPr>
        <w:rFonts w:ascii="Noto Sans Symbols" w:cs="Noto Sans Symbols" w:eastAsia="Noto Sans Symbols" w:hAnsi="Noto Sans Symbols"/>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spacing w:after="12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0" w:lineRule="auto"/>
    </w:pPr>
    <w:rPr>
      <w:b w:val="1"/>
      <w:bCs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bCs w:val="1"/>
      <w:i w:val="0"/>
      <w:iCs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bCs w:val="1"/>
      <w:i w:val="0"/>
      <w:iCs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120" w:lineRule="auto"/>
    </w:pPr>
    <w:rPr>
      <w:b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i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i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before="480" w:lineRule="auto"/>
    </w:pPr>
    <w:rPr>
      <w:b w:val="1"/>
      <w:sz w:val="72"/>
      <w:szCs w:val="72"/>
    </w:rPr>
  </w:style>
  <w:style w:type="paragraph" w:styleId="Normal" w:default="1">
    <w:name w:val="Normal"/>
    <w:qFormat w:val="1"/>
    <w:pPr>
      <w:suppressAutoHyphens w:val="1"/>
      <w:spacing w:line="1" w:lineRule="atLeast"/>
      <w:ind w:left="-1" w:leftChars="-1" w:hanging="1" w:hangingChars="1"/>
      <w:textDirection w:val="btLr"/>
      <w:textAlignment w:val="top"/>
      <w:outlineLvl w:val="0"/>
    </w:pPr>
    <w:rPr>
      <w:position w:val="-1"/>
      <w:szCs w:val="24"/>
      <w:lang w:eastAsia="en-US" w:val="en-US"/>
    </w:rPr>
  </w:style>
  <w:style w:type="paragraph" w:styleId="Heading1">
    <w:name w:val="heading 1"/>
    <w:basedOn w:val="Normal"/>
    <w:next w:val="6Abstract"/>
    <w:uiPriority w:val="9"/>
    <w:qFormat w:val="1"/>
    <w:pPr>
      <w:spacing w:before="120"/>
    </w:pPr>
    <w:rPr>
      <w:b w:val="1"/>
      <w:color w:val="ff1f64"/>
      <w:sz w:val="28"/>
      <w:szCs w:val="36"/>
      <w:lang w:val="en-GB"/>
    </w:rPr>
  </w:style>
  <w:style w:type="paragraph" w:styleId="Heading2">
    <w:name w:val="heading 2"/>
    <w:basedOn w:val="2Subheadpink"/>
    <w:next w:val="Normal"/>
    <w:uiPriority w:val="9"/>
    <w:semiHidden w:val="1"/>
    <w:unhideWhenUsed w:val="1"/>
    <w:qFormat w:val="1"/>
    <w:pPr>
      <w:keepNext w:val="1"/>
      <w:keepLines w:val="1"/>
      <w:spacing w:before="120"/>
      <w:outlineLvl w:val="1"/>
    </w:pPr>
    <w:rPr>
      <w:color w:val="0d1c2f"/>
      <w:sz w:val="24"/>
      <w:szCs w:val="26"/>
    </w:rPr>
  </w:style>
  <w:style w:type="paragraph" w:styleId="Heading3">
    <w:name w:val="heading 3"/>
    <w:basedOn w:val="2Subheadpink"/>
    <w:next w:val="1bodycopy10pt"/>
    <w:uiPriority w:val="9"/>
    <w:semiHidden w:val="1"/>
    <w:unhideWhenUsed w:val="1"/>
    <w:qFormat w:val="1"/>
    <w:pPr>
      <w:keepNext w:val="1"/>
      <w:keepLines w:val="1"/>
      <w:spacing w:before="120"/>
      <w:outlineLvl w:val="2"/>
    </w:pPr>
    <w:rPr>
      <w:bCs w:val="1"/>
      <w:color w:val="7f7f7f"/>
      <w:sz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before="480"/>
    </w:pPr>
    <w:rPr>
      <w:b w:val="1"/>
      <w:sz w:val="72"/>
      <w:szCs w:val="72"/>
    </w:rPr>
  </w:style>
  <w:style w:type="character" w:styleId="Heading1Char" w:customStyle="1">
    <w:name w:val="Heading 1 Char"/>
    <w:rPr>
      <w:b w:val="1"/>
      <w:color w:val="ff1f64"/>
      <w:w w:val="100"/>
      <w:position w:val="-1"/>
      <w:sz w:val="28"/>
      <w:szCs w:val="36"/>
      <w:effect w:val="none"/>
      <w:vertAlign w:val="baseline"/>
      <w:cs w:val="0"/>
      <w:em w:val="none"/>
      <w:lang w:eastAsia="en-US"/>
    </w:rPr>
  </w:style>
  <w:style w:type="character" w:styleId="Heading3Char" w:customStyle="1">
    <w:name w:val="Heading 3 Char"/>
    <w:rPr>
      <w:b w:val="1"/>
      <w:bCs w:val="1"/>
      <w:color w:val="7f7f7f"/>
      <w:w w:val="100"/>
      <w:position w:val="-1"/>
      <w:sz w:val="24"/>
      <w:szCs w:val="32"/>
      <w:effect w:val="none"/>
      <w:vertAlign w:val="baseline"/>
      <w:cs w:val="0"/>
      <w:em w:val="none"/>
      <w:lang w:eastAsia="en-US" w:val="en-US"/>
    </w:rPr>
  </w:style>
  <w:style w:type="paragraph" w:styleId="Footer">
    <w:name w:val="footer"/>
    <w:basedOn w:val="Normal"/>
    <w:qFormat w:val="1"/>
    <w:pPr>
      <w:shd w:color="auto" w:fill="ffffff" w:val="clear"/>
      <w:textAlignment w:val="baseline"/>
    </w:pPr>
    <w:rPr>
      <w:color w:val="808080"/>
      <w:sz w:val="16"/>
      <w:szCs w:val="16"/>
      <w:bdr w:color="auto" w:frame="1" w:space="0" w:sz="0" w:val="none"/>
    </w:rPr>
  </w:style>
  <w:style w:type="character" w:styleId="FooterChar" w:customStyle="1">
    <w:name w:val="Footer Char"/>
    <w:rPr>
      <w:color w:val="808080"/>
      <w:w w:val="100"/>
      <w:position w:val="-1"/>
      <w:sz w:val="16"/>
      <w:szCs w:val="16"/>
      <w:effect w:val="none"/>
      <w:bdr w:color="auto" w:frame="1" w:space="0" w:sz="0" w:val="none"/>
      <w:shd w:color="auto" w:fill="ffffff" w:val="clear"/>
      <w:vertAlign w:val="baseline"/>
      <w:cs w:val="0"/>
      <w:em w:val="none"/>
      <w:lang w:eastAsia="en-US" w:val="en-US"/>
    </w:rPr>
  </w:style>
  <w:style w:type="character" w:styleId="Hyperlink">
    <w:name w:val="Hyperlink"/>
    <w:qFormat w:val="1"/>
    <w:rPr>
      <w:color w:val="0072cc"/>
      <w:w w:val="100"/>
      <w:position w:val="-1"/>
      <w:u w:val="single"/>
      <w:effect w:val="none"/>
      <w:vertAlign w:val="baseline"/>
      <w:cs w:val="0"/>
      <w:em w:val="none"/>
    </w:rPr>
  </w:style>
  <w:style w:type="paragraph" w:styleId="1bodycopy10pt" w:customStyle="1">
    <w:name w:val="1 body copy 10pt"/>
    <w:basedOn w:val="Normal"/>
  </w:style>
  <w:style w:type="character" w:styleId="Heading2Char" w:customStyle="1">
    <w:name w:val="Heading 2 Char"/>
    <w:rPr>
      <w:b w:val="1"/>
      <w:color w:val="0d1c2f"/>
      <w:w w:val="100"/>
      <w:position w:val="-1"/>
      <w:sz w:val="24"/>
      <w:szCs w:val="26"/>
      <w:effect w:val="none"/>
      <w:vertAlign w:val="baseline"/>
      <w:cs w:val="0"/>
      <w:em w:val="none"/>
      <w:lang w:eastAsia="en-US" w:val="en-US"/>
    </w:rPr>
  </w:style>
  <w:style w:type="paragraph" w:styleId="2Subheadpink" w:customStyle="1">
    <w:name w:val="2 Subhead pink"/>
    <w:next w:val="1bodycopy10pt"/>
    <w:pPr>
      <w:suppressAutoHyphens w:val="1"/>
      <w:spacing w:before="360" w:line="259" w:lineRule="auto"/>
      <w:ind w:left="-1" w:leftChars="-1" w:hanging="1" w:hangingChars="1"/>
      <w:textDirection w:val="btLr"/>
      <w:textAlignment w:val="top"/>
      <w:outlineLvl w:val="0"/>
    </w:pPr>
    <w:rPr>
      <w:b w:val="1"/>
      <w:color w:val="ff1f64"/>
      <w:position w:val="-1"/>
      <w:sz w:val="32"/>
      <w:szCs w:val="32"/>
      <w:lang w:eastAsia="en-US" w:val="en-US"/>
    </w:rPr>
  </w:style>
  <w:style w:type="paragraph" w:styleId="SlugTheKey" w:customStyle="1">
    <w:name w:val="Slug The Key"/>
    <w:next w:val="Normal"/>
    <w:pPr>
      <w:suppressAutoHyphens w:val="1"/>
      <w:spacing w:after="160" w:line="259" w:lineRule="auto"/>
      <w:ind w:left="-1" w:leftChars="-1" w:hanging="1" w:hangingChars="1"/>
      <w:jc w:val="center"/>
      <w:textDirection w:val="btLr"/>
      <w:textAlignment w:val="top"/>
      <w:outlineLvl w:val="0"/>
    </w:pPr>
    <w:rPr>
      <w:caps w:val="1"/>
      <w:color w:val="ffffff"/>
      <w:position w:val="-1"/>
      <w:sz w:val="18"/>
      <w:szCs w:val="18"/>
      <w:lang w:eastAsia="en-US" w:val="en-US"/>
    </w:rPr>
  </w:style>
  <w:style w:type="paragraph" w:styleId="TKheadingpink" w:customStyle="1">
    <w:name w:val="TK heading pink"/>
    <w:next w:val="1bodycopy10pt"/>
    <w:pPr>
      <w:spacing w:after="480" w:line="1" w:lineRule="atLeast"/>
      <w:ind w:left="-1" w:leftChars="-1" w:hanging="1" w:hangingChars="1"/>
      <w:textDirection w:val="btLr"/>
      <w:textAlignment w:val="top"/>
      <w:outlineLvl w:val="0"/>
    </w:pPr>
    <w:rPr>
      <w:b w:val="1"/>
      <w:color w:val="ff1f64"/>
      <w:position w:val="-1"/>
      <w:sz w:val="60"/>
      <w:szCs w:val="24"/>
      <w:lang w:eastAsia="en-US" w:val="en-US"/>
    </w:rPr>
  </w:style>
  <w:style w:type="paragraph" w:styleId="8DONTsbullet" w:customStyle="1">
    <w:name w:val="8 DON'Ts bullet"/>
    <w:basedOn w:val="Normal"/>
    <w:pPr>
      <w:numPr>
        <w:numId w:val="3"/>
      </w:numPr>
      <w:suppressAutoHyphens w:val="0"/>
      <w:ind w:left="-1" w:right="284" w:hanging="1"/>
    </w:pPr>
    <w:rPr>
      <w:b w:val="1"/>
      <w:sz w:val="24"/>
      <w:szCs w:val="20"/>
    </w:rPr>
  </w:style>
  <w:style w:type="paragraph" w:styleId="7DOsbullet" w:customStyle="1">
    <w:name w:val="7 DOs bullet"/>
    <w:basedOn w:val="Normal"/>
    <w:pPr>
      <w:tabs>
        <w:tab w:val="num" w:pos="720"/>
      </w:tabs>
      <w:ind w:right="284"/>
    </w:pPr>
    <w:rPr>
      <w:b w:val="1"/>
      <w:sz w:val="24"/>
      <w:szCs w:val="20"/>
    </w:rPr>
  </w:style>
  <w:style w:type="paragraph" w:styleId="4Bulletedcopyblue" w:customStyle="1">
    <w:name w:val="4 Bulleted copy blue"/>
    <w:basedOn w:val="Normal"/>
    <w:pPr>
      <w:tabs>
        <w:tab w:val="num" w:pos="720"/>
      </w:tabs>
    </w:pPr>
    <w:rPr>
      <w:szCs w:val="20"/>
    </w:rPr>
  </w:style>
  <w:style w:type="paragraph" w:styleId="9Boxheading" w:customStyle="1">
    <w:name w:val="9 Box heading"/>
    <w:basedOn w:val="Normal"/>
    <w:rPr>
      <w:b w:val="1"/>
      <w:color w:val="12263f"/>
      <w:sz w:val="24"/>
    </w:rPr>
  </w:style>
  <w:style w:type="paragraph" w:styleId="9Secondbullet" w:customStyle="1">
    <w:name w:val="9 Second bullet"/>
    <w:basedOn w:val="1bodycopy10pt"/>
    <w:pPr>
      <w:tabs>
        <w:tab w:val="num" w:pos="720"/>
      </w:tabs>
      <w:ind w:right="567"/>
    </w:pPr>
  </w:style>
  <w:style w:type="paragraph" w:styleId="BalloonText">
    <w:name w:val="Balloon Text"/>
    <w:basedOn w:val="Normal"/>
    <w:qFormat w:val="1"/>
    <w:rPr>
      <w:rFonts w:ascii="Segoe UI" w:cs="Segoe UI" w:eastAsia="MS Mincho" w:hAnsi="Segoe UI"/>
      <w:sz w:val="18"/>
      <w:szCs w:val="18"/>
    </w:rPr>
  </w:style>
  <w:style w:type="character" w:styleId="1bodycopy10ptChar" w:customStyle="1">
    <w:name w:val="1 body copy 10pt Char"/>
    <w:rPr>
      <w:w w:val="100"/>
      <w:position w:val="-1"/>
      <w:szCs w:val="24"/>
      <w:effect w:val="none"/>
      <w:vertAlign w:val="baseline"/>
      <w:cs w:val="0"/>
      <w:em w:val="none"/>
      <w:lang w:eastAsia="en-US" w:val="en-US"/>
    </w:rPr>
  </w:style>
  <w:style w:type="character" w:styleId="9SecondbulletChar" w:customStyle="1">
    <w:name w:val="9 Second bullet Char"/>
    <w:rPr>
      <w:w w:val="100"/>
      <w:position w:val="-1"/>
      <w:szCs w:val="24"/>
      <w:effect w:val="none"/>
      <w:vertAlign w:val="baseline"/>
      <w:cs w:val="0"/>
      <w:em w:val="none"/>
      <w:lang w:eastAsia="en-US" w:val="en-US"/>
    </w:rPr>
  </w:style>
  <w:style w:type="character" w:styleId="BalloonTextChar" w:customStyle="1">
    <w:name w:val="Balloon Text Char"/>
    <w:rPr>
      <w:rFonts w:ascii="Segoe UI" w:cs="Segoe UI" w:eastAsia="MS Mincho" w:hAnsi="Segoe UI"/>
      <w:w w:val="100"/>
      <w:position w:val="-1"/>
      <w:sz w:val="18"/>
      <w:szCs w:val="18"/>
      <w:effect w:val="none"/>
      <w:vertAlign w:val="baseline"/>
      <w:cs w:val="0"/>
      <w:em w:val="none"/>
      <w:lang w:val="en-US"/>
    </w:rPr>
  </w:style>
  <w:style w:type="character" w:styleId="Strong">
    <w:name w:val="Strong"/>
    <w:rPr>
      <w:rFonts w:ascii="Arial" w:hAnsi="Arial"/>
      <w:b w:val="1"/>
      <w:bCs w:val="1"/>
      <w:w w:val="100"/>
      <w:position w:val="-1"/>
      <w:sz w:val="22"/>
      <w:effect w:val="none"/>
      <w:vertAlign w:val="baseline"/>
      <w:cs w:val="0"/>
      <w:em w:val="none"/>
    </w:rPr>
  </w:style>
  <w:style w:type="paragraph" w:styleId="6Abstract" w:customStyle="1">
    <w:name w:val="6 Abstract"/>
    <w:pPr>
      <w:suppressAutoHyphens w:val="1"/>
      <w:spacing w:after="240" w:line="259" w:lineRule="auto"/>
      <w:ind w:left="-1" w:leftChars="-1" w:hanging="1" w:hangingChars="1"/>
      <w:textDirection w:val="btLr"/>
      <w:textAlignment w:val="top"/>
      <w:outlineLvl w:val="0"/>
    </w:pPr>
    <w:rPr>
      <w:position w:val="-1"/>
      <w:sz w:val="28"/>
      <w:szCs w:val="28"/>
      <w:lang w:eastAsia="en-US" w:val="en-US"/>
    </w:rPr>
  </w:style>
  <w:style w:type="paragraph" w:styleId="TOC2">
    <w:name w:val="toc 2"/>
    <w:basedOn w:val="Normal"/>
    <w:next w:val="Normal"/>
    <w:qFormat w:val="1"/>
    <w:pPr>
      <w:spacing w:after="100"/>
      <w:ind w:left="220"/>
    </w:pPr>
  </w:style>
  <w:style w:type="paragraph" w:styleId="Text" w:customStyle="1">
    <w:name w:val="Text"/>
    <w:basedOn w:val="BodyText"/>
    <w:rPr>
      <w:szCs w:val="20"/>
    </w:rPr>
  </w:style>
  <w:style w:type="character" w:styleId="TextChar" w:customStyle="1">
    <w:name w:val="Text Char"/>
    <w:rPr>
      <w:w w:val="100"/>
      <w:position w:val="-1"/>
      <w:effect w:val="none"/>
      <w:vertAlign w:val="baseline"/>
      <w:cs w:val="0"/>
      <w:em w:val="none"/>
      <w:lang w:eastAsia="en-US" w:val="en-US"/>
    </w:rPr>
  </w:style>
  <w:style w:type="paragraph" w:styleId="9TableHeading" w:customStyle="1">
    <w:name w:val="9 Table Heading"/>
    <w:basedOn w:val="Text"/>
    <w:pPr>
      <w:spacing w:after="0"/>
    </w:pPr>
    <w:rPr>
      <w:caps w:val="1"/>
    </w:rPr>
  </w:style>
  <w:style w:type="character" w:styleId="9TableHeadingChar" w:customStyle="1">
    <w:name w:val="9 Table Heading Char"/>
    <w:rPr>
      <w:caps w:val="1"/>
      <w:w w:val="100"/>
      <w:position w:val="-1"/>
      <w:effect w:val="none"/>
      <w:vertAlign w:val="baseline"/>
      <w:cs w:val="0"/>
      <w:em w:val="none"/>
      <w:lang w:eastAsia="en-US" w:val="en-US"/>
    </w:rPr>
  </w:style>
  <w:style w:type="paragraph" w:styleId="Bodycopyitalic" w:customStyle="1">
    <w:name w:val="Body copy italic"/>
    <w:basedOn w:val="Normal"/>
    <w:pPr>
      <w:ind w:right="284"/>
    </w:pPr>
    <w:rPr>
      <w:i w:val="1"/>
    </w:rPr>
  </w:style>
  <w:style w:type="paragraph" w:styleId="BodyText">
    <w:name w:val="Body Text"/>
    <w:basedOn w:val="Normal"/>
    <w:qFormat w:val="1"/>
  </w:style>
  <w:style w:type="character" w:styleId="BodyTextChar" w:customStyle="1">
    <w:name w:val="Body Text Char"/>
    <w:rPr>
      <w:w w:val="100"/>
      <w:position w:val="-1"/>
      <w:sz w:val="22"/>
      <w:szCs w:val="24"/>
      <w:effect w:val="none"/>
      <w:vertAlign w:val="baseline"/>
      <w:cs w:val="0"/>
      <w:em w:val="none"/>
      <w:lang w:eastAsia="en-US" w:val="en-US"/>
    </w:r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customStyle="1">
    <w:name w:val="TableHeading"/>
    <w:basedOn w:val="1bodycopy10pt"/>
    <w:pPr>
      <w:spacing w:after="0"/>
    </w:pPr>
  </w:style>
  <w:style w:type="character" w:styleId="TableHeadingChar" w:customStyle="1">
    <w:name w:val="TableHeading Char"/>
    <w:rPr>
      <w:w w:val="100"/>
      <w:position w:val="-1"/>
      <w:szCs w:val="24"/>
      <w:effect w:val="none"/>
      <w:vertAlign w:val="baseline"/>
      <w:cs w:val="0"/>
      <w:em w:val="none"/>
      <w:lang w:eastAsia="en-US" w:val="en-US"/>
    </w:rPr>
  </w:style>
  <w:style w:type="table" w:styleId="TheKeytable" w:customStyle="1">
    <w:name w:val="The Ke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table" w:styleId="Style1" w:customStyle="1">
    <w:name w:val="Style1"/>
    <w:basedOn w:val="TheKeytable"/>
    <w:tblPr/>
  </w:style>
  <w:style w:type="paragraph" w:styleId="Tablecopy" w:customStyle="1">
    <w:name w:val="Table copy"/>
    <w:basedOn w:val="1bodycopy10pt"/>
    <w:rPr>
      <w:szCs w:val="20"/>
    </w:rPr>
  </w:style>
  <w:style w:type="character" w:styleId="apple-converted-space" w:customStyle="1">
    <w:name w:val="apple-converted-space"/>
    <w:rPr>
      <w:w w:val="100"/>
      <w:position w:val="-1"/>
      <w:effect w:val="none"/>
      <w:vertAlign w:val="baseline"/>
      <w:cs w:val="0"/>
      <w:em w:val="none"/>
    </w:rPr>
  </w:style>
  <w:style w:type="paragraph" w:styleId="Subheadwithpointer" w:customStyle="1">
    <w:name w:val="Subhead with pointer"/>
    <w:basedOn w:val="Normal"/>
    <w:next w:val="6Abstract"/>
    <w:pPr>
      <w:tabs>
        <w:tab w:val="num" w:pos="720"/>
      </w:tabs>
      <w:spacing w:before="120"/>
      <w:ind w:right="850"/>
    </w:pPr>
    <w:rPr>
      <w:b w:val="1"/>
      <w:bCs w:val="1"/>
      <w:color w:val="12263f"/>
      <w:sz w:val="32"/>
      <w:szCs w:val="32"/>
    </w:rPr>
  </w:style>
  <w:style w:type="paragraph" w:styleId="1bodycopy11pt" w:customStyle="1">
    <w:name w:val="1 body copy 11pt"/>
    <w:pPr>
      <w:suppressAutoHyphens w:val="1"/>
      <w:spacing w:line="1" w:lineRule="atLeast"/>
      <w:ind w:left="-1" w:right="850" w:leftChars="-1" w:hanging="1" w:hangingChars="1"/>
      <w:textDirection w:val="btLr"/>
      <w:textAlignment w:val="top"/>
      <w:outlineLvl w:val="0"/>
    </w:pPr>
    <w:rPr>
      <w:position w:val="-1"/>
      <w:sz w:val="22"/>
      <w:szCs w:val="24"/>
      <w:lang w:eastAsia="en-US" w:val="en-US"/>
    </w:rPr>
  </w:style>
  <w:style w:type="character" w:styleId="SubheadwithpointerChar" w:customStyle="1">
    <w:name w:val="Subhead with pointer Char"/>
    <w:rPr>
      <w:b w:val="1"/>
      <w:bCs w:val="1"/>
      <w:color w:val="12263f"/>
      <w:w w:val="100"/>
      <w:position w:val="-1"/>
      <w:sz w:val="32"/>
      <w:szCs w:val="32"/>
      <w:effect w:val="none"/>
      <w:vertAlign w:val="baseline"/>
      <w:cs w:val="0"/>
      <w:em w:val="none"/>
      <w:lang w:eastAsia="en-US" w:val="en-US"/>
    </w:rPr>
  </w:style>
  <w:style w:type="character" w:styleId="FollowedHyperlink">
    <w:name w:val="FollowedHyperlink"/>
    <w:qFormat w:val="1"/>
    <w:rPr>
      <w:color w:val="954f72"/>
      <w:w w:val="100"/>
      <w:position w:val="-1"/>
      <w:u w:val="single"/>
      <w:effect w:val="none"/>
      <w:vertAlign w:val="baseline"/>
      <w:cs w:val="0"/>
      <w:em w:val="none"/>
    </w:rPr>
  </w:style>
  <w:style w:type="paragraph" w:styleId="Title1" w:customStyle="1">
    <w:name w:val="Title 1"/>
    <w:basedOn w:val="Heading1"/>
    <w:pPr>
      <w:keepNext w:val="1"/>
      <w:keepLines w:val="1"/>
      <w:spacing w:before="480"/>
    </w:pPr>
    <w:rPr>
      <w:b w:val="0"/>
      <w:bCs w:val="1"/>
      <w:sz w:val="52"/>
      <w:szCs w:val="52"/>
      <w:lang w:val="en-US"/>
    </w:rPr>
  </w:style>
  <w:style w:type="character" w:styleId="Title1Char" w:customStyle="1">
    <w:name w:val="Title 1 Char"/>
    <w:rPr>
      <w:bCs w:val="1"/>
      <w:w w:val="100"/>
      <w:position w:val="-1"/>
      <w:sz w:val="52"/>
      <w:szCs w:val="52"/>
      <w:effect w:val="none"/>
      <w:vertAlign w:val="baseline"/>
      <w:cs w:val="0"/>
      <w:em w:val="none"/>
      <w:lang w:eastAsia="en-US" w:val="en-US"/>
    </w:rPr>
  </w:style>
  <w:style w:type="paragraph" w:styleId="TOCHeading">
    <w:name w:val="TOC Heading"/>
    <w:basedOn w:val="Heading1"/>
    <w:next w:val="Normal"/>
    <w:qFormat w:val="1"/>
    <w:pPr>
      <w:keepNext w:val="1"/>
      <w:keepLines w:val="1"/>
      <w:spacing w:after="0" w:before="240" w:line="259" w:lineRule="auto"/>
      <w:outlineLvl w:val="9"/>
    </w:pPr>
    <w:rPr>
      <w:rFonts w:ascii="Calibri Light" w:cs="Times New Roman" w:eastAsia="Times New Roman" w:hAnsi="Calibri Light"/>
      <w:b w:val="0"/>
      <w:color w:val="0d1c2f"/>
      <w:sz w:val="32"/>
      <w:szCs w:val="32"/>
      <w:lang w:val="en-US"/>
    </w:rPr>
  </w:style>
  <w:style w:type="paragraph" w:styleId="TOC1">
    <w:name w:val="toc 1"/>
    <w:basedOn w:val="Normal"/>
    <w:next w:val="Normal"/>
    <w:qFormat w:val="1"/>
    <w:pPr>
      <w:spacing w:after="100"/>
    </w:pPr>
  </w:style>
  <w:style w:type="paragraph" w:styleId="3Policytitle" w:customStyle="1">
    <w:name w:val="3 Policy title"/>
    <w:basedOn w:val="Normal"/>
    <w:rPr>
      <w:b w:val="1"/>
      <w:sz w:val="72"/>
    </w:rPr>
  </w:style>
  <w:style w:type="paragraph" w:styleId="ListParagraph">
    <w:name w:val="List Paragraph"/>
    <w:basedOn w:val="Normal"/>
    <w:pPr>
      <w:ind w:left="720"/>
      <w:contextualSpacing w:val="1"/>
    </w:pPr>
  </w:style>
  <w:style w:type="table" w:styleId="TheKeypolicytable" w:customStyle="1">
    <w:name w:val="The Key polic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paragraph" w:styleId="Tablebodycopy" w:customStyle="1">
    <w:name w:val="Table body copy"/>
    <w:basedOn w:val="1bodycopy10pt"/>
    <w:pPr>
      <w:keepLines w:val="1"/>
      <w:spacing w:after="60"/>
      <w:textboxTightWrap w:val="allLines"/>
    </w:pPr>
  </w:style>
  <w:style w:type="paragraph" w:styleId="Bulletedcopylevel2" w:customStyle="1">
    <w:name w:val="Bulleted copy level 2"/>
    <w:basedOn w:val="1bodycopy10pt"/>
    <w:pPr>
      <w:tabs>
        <w:tab w:val="num" w:pos="720"/>
      </w:tabs>
    </w:pPr>
  </w:style>
  <w:style w:type="paragraph" w:styleId="Tablecopybulleted" w:customStyle="1">
    <w:name w:val="Table copy bulleted"/>
    <w:basedOn w:val="Tablebodycopy"/>
    <w:pPr>
      <w:tabs>
        <w:tab w:val="num" w:pos="720"/>
      </w:tabs>
    </w:pPr>
  </w:style>
  <w:style w:type="paragraph" w:styleId="Caption1" w:customStyle="1">
    <w:name w:val="Caption 1"/>
    <w:basedOn w:val="Normal"/>
    <w:pPr>
      <w:spacing w:before="120"/>
    </w:pPr>
    <w:rPr>
      <w:i w:val="1"/>
      <w:color w:val="f15f22"/>
    </w:rPr>
  </w:style>
  <w:style w:type="paragraph" w:styleId="Subhead2" w:customStyle="1">
    <w:name w:val="Subhead 2"/>
    <w:basedOn w:val="1bodycopy10pt"/>
    <w:next w:val="1bodycopy10pt"/>
    <w:pPr>
      <w:spacing w:before="240"/>
    </w:pPr>
    <w:rPr>
      <w:b w:val="1"/>
      <w:color w:val="12263f"/>
      <w:sz w:val="24"/>
    </w:rPr>
  </w:style>
  <w:style w:type="character" w:styleId="Subhead2Char" w:customStyle="1">
    <w:name w:val="Subhead 2 Char"/>
    <w:rPr>
      <w:b w:val="1"/>
      <w:color w:val="12263f"/>
      <w:w w:val="100"/>
      <w:position w:val="-1"/>
      <w:sz w:val="24"/>
      <w:szCs w:val="24"/>
      <w:effect w:val="none"/>
      <w:vertAlign w:val="baseline"/>
      <w:cs w:val="0"/>
      <w:em w:val="none"/>
      <w:lang w:eastAsia="en-US" w:val="en-US"/>
    </w:rPr>
  </w:style>
  <w:style w:type="paragraph" w:styleId="TOC3">
    <w:name w:val="toc 3"/>
    <w:basedOn w:val="Normal"/>
    <w:next w:val="Normal"/>
    <w:qFormat w:val="1"/>
    <w:pPr>
      <w:spacing w:after="100"/>
      <w:ind w:left="400"/>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57.0" w:type="dxa"/>
        <w:bottom w:w="57.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ind w:left="0" w:hanging="1"/>
    </w:pPr>
    <w:rPr>
      <w:vertAlign w:val="baseline"/>
    </w:rPr>
    <w:tblPr>
      <w:tblStyleRowBandSize w:val="1"/>
      <w:tblStyleColBandSize w:val="1"/>
      <w:tblCellMar>
        <w:top w:w="57.0" w:type="dxa"/>
        <w:left w:w="108.0" w:type="dxa"/>
        <w:bottom w:w="57.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hanging="1"/>
    </w:pPr>
    <w:rPr>
      <w:vertAlign w:val="baseline"/>
    </w:rPr>
    <w:tblPr>
      <w:tblStyleRowBandSize w:val="1"/>
      <w:tblStyleColBandSize w:val="1"/>
      <w:tblCellMar>
        <w:top w:w="57.0" w:type="dxa"/>
        <w:left w:w="108.0" w:type="dxa"/>
        <w:bottom w:w="57.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www.legislation.gov.uk/ukpga/1996/56/section/1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1g1z3uq1+0XsGIwA6N8cGW9M4Q==">CgMxLjAyDmguanBneTJ0ZXpocWhiMg5oLjVocXlwZWhnZ3hrNTIJaC4zMGowemxsMgloLjFmb2I5dGUyCWguM3pueXNoNzIJaC4yZXQ5MnAwOAByITFFNDdQZVhJV1Z1ZFZzMFFsRUI3VTg4T2tvQkhuaDZXWA==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2020-02-25T15:40:00Z</dcterms:created>
</cp:coreProperties>
</file>